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03BF" w:rsidR="007B03BF" w:rsidP="007B03BF" w:rsidRDefault="007B03BF" w14:paraId="be4ba75" w14:textId="be4ba75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B03B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7B03BF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TRGOVAČKI SUD U PAZINU</w:t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 xml:space="preserve"> </w:t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="008D73DE"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szCs w:val="24"/>
          <w:lang w:eastAsia="hr-HR"/>
        </w:rPr>
        <w:t>St-288</w:t>
      </w:r>
      <w:r w:rsidRPr="007B03BF">
        <w:rPr>
          <w:rFonts w:eastAsia="Times New Roman" w:cs="Arial"/>
          <w:bCs/>
          <w:szCs w:val="24"/>
          <w:lang w:eastAsia="hr-HR"/>
        </w:rPr>
        <w:t>/2024-</w:t>
      </w:r>
      <w:r w:rsidR="008D73DE">
        <w:rPr>
          <w:rFonts w:eastAsia="Times New Roman" w:cs="Arial"/>
          <w:bCs/>
          <w:szCs w:val="24"/>
          <w:lang w:eastAsia="hr-HR"/>
        </w:rPr>
        <w:t>36</w:t>
      </w:r>
    </w:p>
    <w:p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B03BF" w:rsidR="001456F8" w:rsidP="007B03BF" w:rsidRDefault="001456F8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Z A P I S N I K</w:t>
      </w:r>
    </w:p>
    <w:p w:rsidRPr="006C352F" w:rsidR="007B03BF" w:rsidP="007B03BF" w:rsidRDefault="007B03B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6C352F">
        <w:rPr>
          <w:rFonts w:eastAsia="Times New Roman" w:cs="Arial"/>
          <w:bCs/>
          <w:szCs w:val="24"/>
          <w:lang w:eastAsia="hr-HR"/>
        </w:rPr>
        <w:t xml:space="preserve">od </w:t>
      </w:r>
      <w:r w:rsidRPr="006C352F" w:rsidR="006C352F">
        <w:rPr>
          <w:rFonts w:eastAsia="Times New Roman" w:cs="Arial"/>
          <w:bCs/>
          <w:szCs w:val="24"/>
          <w:lang w:eastAsia="hr-HR"/>
        </w:rPr>
        <w:t>25. studenog</w:t>
      </w:r>
      <w:r w:rsidRPr="006C352F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7B03BF" w:rsidR="007B03BF" w:rsidP="007B03BF" w:rsidRDefault="007B03B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7B03BF" w:rsidR="007B03BF" w:rsidP="007B03BF" w:rsidRDefault="007B03B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7B03BF" w:rsidR="007B03BF" w:rsidP="007B03BF" w:rsidRDefault="007B03BF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8B5083">
        <w:rPr>
          <w:rFonts w:cs="Arial"/>
          <w:szCs w:val="24"/>
        </w:rPr>
        <w:t>ZORRO d.o.o. u stečaju, Poreč, Motovunska 24, OIB: 16467038435</w:t>
      </w:r>
    </w:p>
    <w:p w:rsidRPr="007B03BF" w:rsidR="007B03BF" w:rsidP="007B03BF" w:rsidRDefault="007B03B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OD SUDA PRISUTNI: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6C352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6C352F">
        <w:rPr>
          <w:rFonts w:eastAsia="Times New Roman" w:cs="Arial"/>
          <w:bCs/>
          <w:szCs w:val="24"/>
          <w:lang w:eastAsia="hr-HR"/>
        </w:rPr>
        <w:t xml:space="preserve">Početak u </w:t>
      </w:r>
      <w:r w:rsidRPr="006C352F" w:rsidR="006C352F">
        <w:rPr>
          <w:rFonts w:eastAsia="Times New Roman" w:cs="Arial"/>
          <w:bCs/>
          <w:szCs w:val="24"/>
          <w:lang w:eastAsia="hr-HR"/>
        </w:rPr>
        <w:t>12</w:t>
      </w:r>
      <w:r w:rsidRPr="006C352F">
        <w:rPr>
          <w:rFonts w:eastAsia="Times New Roman" w:cs="Arial"/>
          <w:bCs/>
          <w:szCs w:val="24"/>
          <w:lang w:eastAsia="hr-HR"/>
        </w:rPr>
        <w:t>:</w:t>
      </w:r>
      <w:r w:rsidRPr="006C352F" w:rsidR="006C352F">
        <w:rPr>
          <w:rFonts w:eastAsia="Times New Roman" w:cs="Arial"/>
          <w:bCs/>
          <w:szCs w:val="24"/>
          <w:lang w:eastAsia="hr-HR"/>
        </w:rPr>
        <w:t>30</w:t>
      </w:r>
      <w:r w:rsidRPr="006C352F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Ročište je javno.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C33F36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C33F3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C33F36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C33F36">
        <w:rPr>
          <w:rFonts w:eastAsia="Times New Roman" w:cs="Arial"/>
          <w:bCs/>
          <w:szCs w:val="24"/>
          <w:lang w:eastAsia="hr-HR"/>
        </w:rPr>
        <w:t xml:space="preserve">- </w:t>
      </w:r>
      <w:r w:rsidRPr="00C33F36">
        <w:rPr>
          <w:rFonts w:eastAsia="Times New Roman" w:cs="Arial"/>
          <w:szCs w:val="24"/>
          <w:lang w:eastAsia="hr-HR"/>
        </w:rPr>
        <w:t xml:space="preserve">stečajna upraviteljica </w:t>
      </w:r>
      <w:r w:rsidRPr="00C33F36">
        <w:rPr>
          <w:rFonts w:cs="Arial"/>
        </w:rPr>
        <w:t>Alma Tatalović</w:t>
      </w:r>
      <w:r w:rsidRPr="00C33F36" w:rsidR="00C33F36">
        <w:rPr>
          <w:rFonts w:cs="Arial"/>
        </w:rPr>
        <w:t>, na daljinu</w:t>
      </w:r>
    </w:p>
    <w:p w:rsidRPr="00C33F36" w:rsidR="007B03BF" w:rsidP="007B03BF" w:rsidRDefault="00C33F3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C33F36">
        <w:rPr>
          <w:rFonts w:eastAsia="Times New Roman" w:cs="Arial"/>
          <w:bCs/>
          <w:szCs w:val="24"/>
          <w:lang w:eastAsia="hr-HR"/>
        </w:rPr>
        <w:t>- za Republiku Hrvatsku zamjenica</w:t>
      </w:r>
      <w:r w:rsidRPr="00C33F36" w:rsidR="007B03BF">
        <w:rPr>
          <w:rFonts w:eastAsia="Times New Roman" w:cs="Arial"/>
          <w:bCs/>
          <w:szCs w:val="24"/>
          <w:lang w:eastAsia="hr-HR"/>
        </w:rPr>
        <w:t xml:space="preserve"> ŽDO u Puli, </w:t>
      </w:r>
      <w:r w:rsidRPr="00C33F36">
        <w:rPr>
          <w:rFonts w:eastAsia="Times New Roman" w:cs="Arial"/>
          <w:bCs/>
          <w:szCs w:val="24"/>
          <w:lang w:eastAsia="hr-HR"/>
        </w:rPr>
        <w:t>Nevenka Kovčalija, na daljinu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6C352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suda </w:t>
      </w:r>
      <w:r w:rsidRPr="006C352F">
        <w:rPr>
          <w:rFonts w:eastAsia="Times New Roman" w:cs="Arial"/>
          <w:bCs/>
          <w:szCs w:val="24"/>
          <w:lang w:eastAsia="hr-HR"/>
        </w:rPr>
        <w:t>dana 31. listopada 2025.</w:t>
      </w:r>
    </w:p>
    <w:p w:rsidRPr="007B03BF" w:rsidR="007B03BF" w:rsidP="007B03BF" w:rsidRDefault="007B03B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</w:t>
      </w:r>
      <w:r w:rsidRPr="006C352F">
        <w:rPr>
          <w:rFonts w:eastAsia="Times New Roman" w:cs="Arial"/>
          <w:bCs/>
          <w:szCs w:val="24"/>
          <w:lang w:eastAsia="hr-HR"/>
        </w:rPr>
        <w:t xml:space="preserve">od 31. listopada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7B03BF" w:rsidR="007B03BF" w:rsidP="007B03BF" w:rsidRDefault="007B03BF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Pr="00B60DEC" w:rsidR="006C352F" w:rsidP="006C352F" w:rsidRDefault="006C352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60DEC">
        <w:rPr>
          <w:rFonts w:ascii="TimesNewRomanPSMT" w:hAnsi="TimesNewRomanPSMT" w:eastAsia="Times New Roman" w:cs="Arial"/>
          <w:szCs w:val="24"/>
          <w:lang w:eastAsia="hr-HR"/>
        </w:rPr>
        <w:t>1.</w:t>
      </w:r>
      <w:r>
        <w:rPr>
          <w:rFonts w:ascii="TimesNewRomanPSMT" w:hAnsi="TimesNewRomanPSMT" w:cs="TimesNewRomanPSMT"/>
          <w:szCs w:val="24"/>
        </w:rPr>
        <w:tab/>
      </w:r>
      <w:r>
        <w:rPr>
          <w:rFonts w:eastAsia="Times New Roman" w:cs="Arial"/>
          <w:szCs w:val="24"/>
          <w:lang w:eastAsia="hr-HR"/>
        </w:rPr>
        <w:t>Donošenje odluke</w:t>
      </w:r>
      <w:r w:rsidRPr="00951843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o</w:t>
      </w:r>
      <w:r w:rsidRPr="00B60DEC">
        <w:rPr>
          <w:rFonts w:ascii="TimesNewRomanPSMT" w:hAnsi="TimesNewRomanPSMT" w:cs="TimesNewRomanPSMT"/>
          <w:szCs w:val="24"/>
        </w:rPr>
        <w:t xml:space="preserve"> </w:t>
      </w:r>
      <w:r>
        <w:rPr>
          <w:rFonts w:ascii="TimesNewRomanPSMT" w:hAnsi="TimesNewRomanPSMT" w:cs="TimesNewRomanPSMT"/>
          <w:szCs w:val="24"/>
        </w:rPr>
        <w:t xml:space="preserve">prihvaćanju </w:t>
      </w:r>
      <w:r w:rsidRPr="00B60DEC">
        <w:rPr>
          <w:rFonts w:ascii="TimesNewRomanPSMT" w:hAnsi="TimesNewRomanPSMT" w:cs="TimesNewRomanPSMT"/>
          <w:szCs w:val="24"/>
        </w:rPr>
        <w:t xml:space="preserve">do sada </w:t>
      </w:r>
      <w:r>
        <w:rPr>
          <w:rFonts w:ascii="TimesNewRomanPSMT" w:hAnsi="TimesNewRomanPSMT" w:cs="TimesNewRomanPSMT"/>
          <w:szCs w:val="24"/>
        </w:rPr>
        <w:t>poduzetih radnji</w:t>
      </w:r>
      <w:r w:rsidRPr="00B60DEC">
        <w:rPr>
          <w:rFonts w:ascii="TimesNewRomanPSMT" w:hAnsi="TimesNewRomanPSMT" w:cs="TimesNewRomanPSMT"/>
          <w:szCs w:val="24"/>
        </w:rPr>
        <w:t xml:space="preserve"> stečajne upraviteljice</w:t>
      </w:r>
      <w:r>
        <w:rPr>
          <w:rFonts w:ascii="TimesNewRomanPSMT" w:hAnsi="TimesNewRomanPSMT" w:cs="TimesNewRomanPSMT"/>
          <w:szCs w:val="24"/>
        </w:rPr>
        <w:t>.</w:t>
      </w:r>
    </w:p>
    <w:p w:rsidR="006C352F" w:rsidP="006C352F" w:rsidRDefault="006C352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2.</w:t>
      </w:r>
      <w:r>
        <w:rPr>
          <w:rFonts w:eastAsia="Times New Roman" w:cs="Arial"/>
          <w:szCs w:val="24"/>
          <w:lang w:eastAsia="hr-HR"/>
        </w:rPr>
        <w:tab/>
        <w:t>Donošenje odluke</w:t>
      </w:r>
      <w:r w:rsidRPr="00951843">
        <w:rPr>
          <w:rFonts w:eastAsia="Times New Roman" w:cs="Arial"/>
          <w:szCs w:val="24"/>
          <w:lang w:eastAsia="hr-HR"/>
        </w:rPr>
        <w:t xml:space="preserve"> </w:t>
      </w:r>
      <w:r w:rsidRPr="00E05CAE">
        <w:rPr>
          <w:rFonts w:eastAsia="Times New Roman" w:cs="Arial"/>
          <w:szCs w:val="24"/>
          <w:lang w:eastAsia="hr-HR"/>
        </w:rPr>
        <w:t>da se odustaje od unovčenja vozila stečajnog dužnika oznake M1, marke</w:t>
      </w:r>
      <w:r>
        <w:rPr>
          <w:rFonts w:eastAsia="Times New Roman" w:cs="Arial"/>
          <w:szCs w:val="24"/>
          <w:lang w:eastAsia="hr-HR"/>
        </w:rPr>
        <w:t xml:space="preserve"> </w:t>
      </w:r>
      <w:r w:rsidRPr="00E05CAE">
        <w:rPr>
          <w:rFonts w:eastAsia="Times New Roman" w:cs="Arial"/>
          <w:szCs w:val="24"/>
          <w:lang w:eastAsia="hr-HR"/>
        </w:rPr>
        <w:t>Škoda Fabia, godina proizvodnje 2002., broj šasije TMBPW26Y433680915 te se ovlašćuje</w:t>
      </w:r>
      <w:r>
        <w:rPr>
          <w:rFonts w:eastAsia="Times New Roman" w:cs="Arial"/>
          <w:szCs w:val="24"/>
          <w:lang w:eastAsia="hr-HR"/>
        </w:rPr>
        <w:t xml:space="preserve"> </w:t>
      </w:r>
      <w:r w:rsidRPr="00E05CAE">
        <w:rPr>
          <w:rFonts w:eastAsia="Times New Roman" w:cs="Arial"/>
          <w:szCs w:val="24"/>
          <w:lang w:eastAsia="hr-HR"/>
        </w:rPr>
        <w:t>stečajna upraviteljica prodati predmetno vozilo u staro željezo</w:t>
      </w:r>
      <w:r>
        <w:rPr>
          <w:rFonts w:eastAsia="Times New Roman" w:cs="Arial"/>
          <w:szCs w:val="24"/>
          <w:lang w:eastAsia="hr-HR"/>
        </w:rPr>
        <w:t>.</w:t>
      </w:r>
    </w:p>
    <w:p w:rsidR="006C352F" w:rsidP="00C33F36" w:rsidRDefault="006C352F">
      <w:pPr>
        <w:spacing w:after="0" w:line="240" w:lineRule="auto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7B03BF" w:rsidR="001456F8" w:rsidP="00C33F36" w:rsidRDefault="001456F8">
      <w:pPr>
        <w:spacing w:after="0" w:line="240" w:lineRule="auto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Pr="007B03BF" w:rsidR="007B03BF" w:rsidP="007B03BF" w:rsidRDefault="00C33F3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prihvaća do sada poduzete radnje stečajne upraviteljice.</w:t>
      </w:r>
    </w:p>
    <w:p w:rsidRPr="007B03BF" w:rsidR="007B03BF" w:rsidP="007B03BF" w:rsidRDefault="007B03B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7B03BF" w:rsidR="007B03BF" w:rsidP="007B03BF" w:rsidRDefault="00C33F3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 donosi odluku da se</w:t>
      </w:r>
      <w:r w:rsidRPr="00C33F36">
        <w:rPr>
          <w:rFonts w:eastAsia="Times New Roman" w:cs="Arial"/>
          <w:szCs w:val="24"/>
          <w:lang w:eastAsia="hr-HR"/>
        </w:rPr>
        <w:t xml:space="preserve"> </w:t>
      </w:r>
      <w:r w:rsidRPr="00E05CAE">
        <w:rPr>
          <w:rFonts w:eastAsia="Times New Roman" w:cs="Arial"/>
          <w:szCs w:val="24"/>
          <w:lang w:eastAsia="hr-HR"/>
        </w:rPr>
        <w:t>odustaje od unovčenja vozila stečajnog dužnika oznake M1, marke</w:t>
      </w:r>
      <w:r>
        <w:rPr>
          <w:rFonts w:eastAsia="Times New Roman" w:cs="Arial"/>
          <w:szCs w:val="24"/>
          <w:lang w:eastAsia="hr-HR"/>
        </w:rPr>
        <w:t xml:space="preserve"> </w:t>
      </w:r>
      <w:r w:rsidRPr="00E05CAE">
        <w:rPr>
          <w:rFonts w:eastAsia="Times New Roman" w:cs="Arial"/>
          <w:szCs w:val="24"/>
          <w:lang w:eastAsia="hr-HR"/>
        </w:rPr>
        <w:t>Škoda Fabia, godina proizvodnje 2002., broj šasije TMBPW26Y433680915 te se ovlašćuje</w:t>
      </w:r>
      <w:r>
        <w:rPr>
          <w:rFonts w:eastAsia="Times New Roman" w:cs="Arial"/>
          <w:szCs w:val="24"/>
          <w:lang w:eastAsia="hr-HR"/>
        </w:rPr>
        <w:t xml:space="preserve"> </w:t>
      </w:r>
      <w:r w:rsidRPr="00E05CAE">
        <w:rPr>
          <w:rFonts w:eastAsia="Times New Roman" w:cs="Arial"/>
          <w:szCs w:val="24"/>
          <w:lang w:eastAsia="hr-HR"/>
        </w:rPr>
        <w:t>stečajna upraviteljica prodati predmetno vozilo u staro željezo</w:t>
      </w:r>
      <w:r w:rsidR="001456F8">
        <w:rPr>
          <w:rFonts w:eastAsia="Times New Roman" w:cs="Arial"/>
          <w:szCs w:val="24"/>
          <w:lang w:eastAsia="hr-HR"/>
        </w:rPr>
        <w:t xml:space="preserve"> ili pak u slučaju da stečajna upraviteljica uspije postignuti dogovor da se predmetno vozilo proda potencijalnom kupcu za 100,00 eura.</w:t>
      </w:r>
    </w:p>
    <w:p w:rsidRPr="007B03BF" w:rsidR="007B03BF" w:rsidP="001456F8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1456F8" w:rsidR="007B03BF" w:rsidP="007B03BF" w:rsidRDefault="007B03B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456F8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</w:t>
      </w:r>
      <w:r w:rsidRPr="001456F8" w:rsidR="00A37671">
        <w:rPr>
          <w:rFonts w:eastAsia="Times New Roman" w:cs="Arial"/>
          <w:bCs/>
          <w:szCs w:val="24"/>
          <w:lang w:eastAsia="hr-HR"/>
        </w:rPr>
        <w:t>prisutni</w:t>
      </w:r>
      <w:r w:rsidRPr="001456F8">
        <w:rPr>
          <w:rFonts w:eastAsia="Times New Roman" w:cs="Arial"/>
          <w:bCs/>
          <w:szCs w:val="24"/>
          <w:lang w:eastAsia="hr-HR"/>
        </w:rPr>
        <w:t xml:space="preserve"> potvrđuju da su tijek sastava zapisnika pratili putem zvučnika i putem ekrana na svojim računalima te da nemaju prigovora na sastav zapisnika koji neće potpisivati a objaviti će se na e-Oglasnoj ploči suda.</w:t>
      </w:r>
    </w:p>
    <w:p w:rsidRPr="007B03BF" w:rsidR="007B03BF" w:rsidP="007B03BF" w:rsidRDefault="007B03B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 xml:space="preserve">  Dovršeno u </w:t>
      </w:r>
      <w:r w:rsidR="001456F8">
        <w:rPr>
          <w:rFonts w:eastAsia="Times New Roman" w:cs="Arial"/>
          <w:bCs/>
          <w:szCs w:val="24"/>
          <w:lang w:eastAsia="hr-HR"/>
        </w:rPr>
        <w:t>12</w:t>
      </w:r>
      <w:r w:rsidRPr="007B03BF">
        <w:rPr>
          <w:rFonts w:eastAsia="Times New Roman" w:cs="Arial"/>
          <w:bCs/>
          <w:szCs w:val="24"/>
          <w:lang w:eastAsia="hr-HR"/>
        </w:rPr>
        <w:t>:</w:t>
      </w:r>
      <w:r w:rsidR="001456F8">
        <w:rPr>
          <w:rFonts w:eastAsia="Times New Roman" w:cs="Arial"/>
          <w:bCs/>
          <w:szCs w:val="24"/>
          <w:lang w:eastAsia="hr-HR"/>
        </w:rPr>
        <w:t>40</w:t>
      </w:r>
      <w:r w:rsidRPr="007B03BF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 xml:space="preserve">       </w:t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  <w:t xml:space="preserve">       Sutkinja      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7B03BF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7B03BF">
        <w:rPr>
          <w:rFonts w:eastAsia="Times New Roman" w:cs="Arial"/>
          <w:bCs/>
          <w:szCs w:val="24"/>
          <w:lang w:eastAsia="hr-HR"/>
        </w:rPr>
        <w:t xml:space="preserve">    </w:t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</w:r>
      <w:r w:rsidRPr="007B03BF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7B03BF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7B03BF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7B03BF">
        <w:rPr>
          <w:rFonts w:eastAsia="Times New Roman" w:cs="Arial"/>
          <w:bCs/>
          <w:szCs w:val="24"/>
          <w:lang w:eastAsia="hr-HR"/>
        </w:rPr>
        <w:tab/>
      </w: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7B03BF" w:rsidR="007B03BF" w:rsidP="007B03BF" w:rsidRDefault="007B03B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03BF" w:rsidP="007B03BF" w:rsidRDefault="007B03BF">
      <w:pPr>
        <w:spacing w:after="0" w:line="240" w:lineRule="auto"/>
      </w:pPr>
      <w:r>
        <w:separator/>
      </w:r>
    </w:p>
  </w:endnote>
  <w:endnote w:type="continuationSeparator" w:id="0">
    <w:p w:rsidR="007B03BF" w:rsidP="007B03BF" w:rsidRDefault="007B0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03BF" w:rsidP="007B03BF" w:rsidRDefault="007B03BF">
      <w:pPr>
        <w:spacing w:after="0" w:line="240" w:lineRule="auto"/>
      </w:pPr>
      <w:r>
        <w:separator/>
      </w:r>
    </w:p>
  </w:footnote>
  <w:footnote w:type="continuationSeparator" w:id="0">
    <w:p w:rsidR="007B03BF" w:rsidP="007B03BF" w:rsidRDefault="007B0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7B03B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9173A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7B03BF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9173A4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7B03BF" w:rsidR="0037515D" w:rsidP="007B03BF" w:rsidRDefault="007B03BF">
    <w:pPr>
      <w:ind w:left="2832"/>
      <w:jc w:val="right"/>
    </w:pPr>
    <w:r>
      <w:tab/>
    </w:r>
    <w:r w:rsidRPr="000A1600">
      <w:tab/>
      <w:t xml:space="preserve">                                                                                                </w:t>
    </w:r>
    <w:r w:rsidRPr="007B03BF">
      <w:rPr>
        <w:color w:val="7F7F7F"/>
      </w:rPr>
      <w:t xml:space="preserve">  </w:t>
    </w:r>
    <w:r>
      <w:t xml:space="preserve"> </w:t>
    </w:r>
    <w:r w:rsidRPr="007B03BF">
      <w:t>St-</w:t>
    </w:r>
    <w:r>
      <w:t>288</w:t>
    </w:r>
    <w:r w:rsidRPr="007B03BF">
      <w:t>/2024-</w:t>
    </w:r>
    <w:r w:rsidR="008D73DE">
      <w:t>36</w:t>
    </w:r>
  </w:p>
  <w:p w:rsidR="00747C40" w:rsidRDefault="009173A4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BF"/>
    <w:rsid w:val="001456F8"/>
    <w:rsid w:val="002410FA"/>
    <w:rsid w:val="005A0EC7"/>
    <w:rsid w:val="006C352F"/>
    <w:rsid w:val="007B03BF"/>
    <w:rsid w:val="008D73DE"/>
    <w:rsid w:val="009173A4"/>
    <w:rsid w:val="00A37671"/>
    <w:rsid w:val="00C33F36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7D4B4689-DADD-4B8B-A3FC-D85DF2299C3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B03B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B03BF"/>
  </w:style>
  <w:style w:type="character" w:styleId="Brojstranice">
    <w:name w:val="page number"/>
    <w:basedOn w:val="Zadanifontodlomka"/>
    <w:rsid w:val="007B03BF"/>
  </w:style>
  <w:style w:type="paragraph" w:styleId="Podnoje">
    <w:name w:val="footer"/>
    <w:basedOn w:val="Normal"/>
    <w:link w:val="PodnojeChar"/>
    <w:uiPriority w:val="99"/>
    <w:unhideWhenUsed/>
    <w:rsid w:val="007B03B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B03BF"/>
  </w:style>
  <w:style w:type="character" w:styleId="Tekstrezerviranogmjesta">
    <w:name w:val="Placeholder Text"/>
    <w:basedOn w:val="Zadanifontodlomka"/>
    <w:uiPriority w:val="99"/>
    <w:semiHidden/>
    <w:rsid w:val="009173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73A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173A4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173A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173A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2025.</izvorni_sadrzaj>
    <derivirana_varijabla naziv="DomainObject.StvarniPocetakDatum_1">25. studenog 2025.</derivirana_varijabla>
  </DomainObject.StvarniPocetakDatum>
  <DomainObject.StvarniZavrsetakDatum>
    <izvorni_sadrzaj>25. studenog 2025.</izvorni_sadrzaj>
    <derivirana_varijabla naziv="DomainObject.StvarniZavrsetakDatum_1">25. studenog 2025.</derivirana_varijabla>
  </DomainObject.StvarniZavrsetakDatum>
  <DomainObject.PlaniraniZavrsetakDatum>
    <izvorni_sadrzaj>25. studenog 2025.</izvorni_sadrzaj>
    <derivirana_varijabla naziv="DomainObject.PlaniraniZavrsetakDatum_1">25. studenog 2025.</derivirana_varijabla>
  </DomainObject.PlaniraniZavrsetakDatum>
  <DomainObject.PlaniraniPocetakDatum>
    <izvorni_sadrzaj>25. studenog 2025.</izvorni_sadrzaj>
    <derivirana_varijabla naziv="DomainObject.PlaniraniPocetakDatum_1">25. studenog 2025.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2025.</izvorni_sadrzaj>
    <derivirana_varijabla naziv="DomainObject.Zapisnik.DatumKreiranja_1">25. studenog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St-288/2024-36</izvorni_sadrzaj>
    <derivirana_varijabla naziv="DomainObject.Zapisnik.Oznaka_1">St-288/2024-36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kolovoza 2024.</izvorni_sadrzaj>
    <derivirana_varijabla naziv="DomainObject.Predmet.DatumIzradeOptuznogAkta_1">23. kolovoza 2024.</derivirana_varijabla>
  </DomainObject.Predmet.DatumIzradeOptuznogAkta>
  <DomainObject.Predmet.DatumIzradeOptuznogAktaFormated>
    <izvorni_sadrzaj>23.8.2024.</izvorni_sadrzaj>
    <derivirana_varijabla naziv="DomainObject.Predmet.DatumIzradeOptuznogAktaFormated_1">23.8.2024.</derivirana_varijabla>
  </DomainObject.Predmet.DatumIzradeOptuznogAktaFormated>
  <DomainObject.Predmet.DatumOsnivanja>
    <izvorni_sadrzaj>23. kolovoza 2024.</izvorni_sadrzaj>
    <derivirana_varijabla naziv="DomainObject.Predmet.DatumOsnivanja_1">23.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kolovoza 2024.</izvorni_sadrzaj>
    <derivirana_varijabla naziv="DomainObject.Predmet.DatumPrimitkaOptuznogAkta_1">23. kolovoza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16.01.2025. spisu prileže 
prijave tražbina - crveni fascikl</izvorni_sadrzaj>
    <derivirana_varijabla naziv="DomainObject.Predmet.Opis_1">od dana 16.01.2025. spisu prileže 
prijave tražbina - crveni fascikl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St-288/2024</izvorni_sadrzaj>
    <derivirana_varijabla naziv="DomainObject.Predmet.OznakaBroj_1">St-288/2024</derivirana_varijabla>
  </DomainObject.Predmet.OznakaBroj>
  <DomainObject.Predmet.OznakaBrojOptuznogAkta>
    <izvorni_sadrzaj>04-06-24-3639</izvorni_sadrzaj>
    <derivirana_varijabla naziv="DomainObject.Predmet.OznakaBrojOptuznogAkta_1">04-06-24-3639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ZORRO d.o.o., Poreč</izvorni_sadrzaj>
    <derivirana_varijabla naziv="DomainObject.Predmet.ProtustrankaFormated_1">  ZORRO d.o.o., Poreč</derivirana_varijabla>
  </DomainObject.Predmet.ProtustrankaFormated>
  <DomainObject.Predmet.ProtustrankaFormatedOIB>
    <izvorni_sadrzaj>  ZORRO d.o.o., Poreč, OIB 16467038435</izvorni_sadrzaj>
    <derivirana_varijabla naziv="DomainObject.Predmet.ProtustrankaFormatedOIB_1">  ZORRO d.o.o., Poreč, OIB 16467038435</derivirana_varijabla>
  </DomainObject.Predmet.ProtustrankaFormatedOIB>
  <DomainObject.Predmet.ProtustrankaFormatedWithAdress>
    <izvorni_sadrzaj> ZORRO d.o.o., Poreč, Motovunska 24, 52440 Poreč</izvorni_sadrzaj>
    <derivirana_varijabla naziv="DomainObject.Predmet.ProtustrankaFormatedWithAdress_1"> ZORRO d.o.o., Poreč, Motovunska 24, 52440 Poreč</derivirana_varijabla>
  </DomainObject.Predmet.ProtustrankaFormatedWithAdress>
  <DomainObject.Predmet.ProtustrankaFormatedWithAdressOIB>
    <izvorni_sadrzaj> ZORRO d.o.o., Poreč, OIB 16467038435, Motovunska 24, 52440 Poreč</izvorni_sadrzaj>
    <derivirana_varijabla naziv="DomainObject.Predmet.ProtustrankaFormatedWithAdressOIB_1"> ZORRO d.o.o., Poreč, OIB 16467038435, Motovunska 24, 52440 Poreč</derivirana_varijabla>
  </DomainObject.Predmet.ProtustrankaFormatedWithAdressOIB>
  <DomainObject.Predmet.ProtustrankaWithAdress>
    <izvorni_sadrzaj>ZORRO d.o.o., Poreč Motovunska 24, 52440 Poreč</izvorni_sadrzaj>
    <derivirana_varijabla naziv="DomainObject.Predmet.ProtustrankaWithAdress_1">ZORRO d.o.o., Poreč Motovunska 24, 52440 Poreč</derivirana_varijabla>
  </DomainObject.Predmet.ProtustrankaWithAdress>
  <DomainObject.Predmet.ProtustrankaWithAdressOIB>
    <izvorni_sadrzaj>ZORRO d.o.o., Poreč, OIB 16467038435, Motovunska 24, 52440 Poreč</izvorni_sadrzaj>
    <derivirana_varijabla naziv="DomainObject.Predmet.ProtustrankaWithAdressOIB_1">ZORRO d.o.o., Poreč, OIB 16467038435, Motovunska 24, 52440 Poreč</derivirana_varijabla>
  </DomainObject.Predmet.ProtustrankaWithAdressOIB>
  <DomainObject.Predmet.ProtustrankaNazivFormated>
    <izvorni_sadrzaj>ZORRO d.o.o., Poreč</izvorni_sadrzaj>
    <derivirana_varijabla naziv="DomainObject.Predmet.ProtustrankaNazivFormated_1">ZORRO d.o.o., Poreč</derivirana_varijabla>
  </DomainObject.Predmet.ProtustrankaNazivFormated>
  <DomainObject.Predmet.ProtustrankaNazivFormatedOIB>
    <izvorni_sadrzaj>ZORRO d.o.o., Poreč, OIB 16467038435</izvorni_sadrzaj>
    <derivirana_varijabla naziv="DomainObject.Predmet.ProtustrankaNazivFormatedOIB_1">ZORRO d.o.o., Poreč, OIB 16467038435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</izvorni_sadrzaj>
    <derivirana_varijabla naziv="DomainObject.Predmet.StrankaFormated_1">  Financijska agencija (FINA); Addiko Bank dioničko društvo</derivirana_varijabla>
  </DomainObject.Predmet.StrankaFormated>
  <DomainObject.Predmet.StrankaFormatedOIB>
    <izvorni_sadrzaj>  Financijska agencija (FINA), OIB 85821130368; Addiko Bank dioničko društvo, OIB 14036333877</izvorni_sadrzaj>
    <derivirana_varijabla naziv="DomainObject.Predmet.StrankaFormatedOIB_1">  Financijska agencija (FINA), OIB 85821130368; Addiko Bank dioničko društvo, OIB 14036333877</derivirana_varijabla>
  </DomainObject.Predmet.StrankaFormatedOIB>
  <DomainObject.Predmet.StrankaFormatedWithAdress>
    <izvorni_sadrzaj> Financijska agencija (FINA), GIARDINI 5, 52100 Pula; Addiko Bank dioničko društvo, Slavonska avenija 6, 10000 Zagreb</izvorni_sadrzaj>
    <derivirana_varijabla naziv="DomainObject.Predmet.StrankaFormatedWithAdress_1"> Financijska agencija (FINA), GIARDINI 5, 52100 Pula; Addiko Bank dioničko društvo, Slavonska avenija 6,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</izvorni_sadrzaj>
    <derivirana_varijabla naziv="DomainObject.Predmet.StrankaFormatedWithAdressOIB_1"> Financijska agencija (FINA), OIB 85821130368, GIARDINI 5, 52100 Pula; Addiko Bank dioničko društvo, OIB 14036333877, Slavonska avenija 6, 10000 Zagreb</derivirana_varijabla>
  </DomainObject.Predmet.StrankaFormatedWithAdressOIB>
  <DomainObject.Predmet.StrankaWithAdress>
    <izvorni_sadrzaj>Financijska agencija (FINA) GIARDINI 5,52100 Pula,Addiko Bank dioničko društvo Slavonska avenija 6,10000 Zagreb</izvorni_sadrzaj>
    <derivirana_varijabla naziv="DomainObject.Predmet.StrankaWithAdress_1">Financijska agencija (FINA) GIARDINI 5,52100 Pula,Addiko Bank dioničko društvo Slavonska avenija 6,10000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</izvorni_sadrzaj>
    <derivirana_varijabla naziv="DomainObject.Predmet.StrankaWithAdressOIB_1">Financijska agencija (FINA), OIB 85821130368, GIARDINI 5,52100 Pula,Addiko Bank dioničko društvo, OIB 14036333877, Slavonska avenija 6,10000 Zagreb</derivirana_varijabla>
  </DomainObject.Predmet.StrankaWithAdressOIB>
  <DomainObject.Predmet.StrankaNazivFormated>
    <izvorni_sadrzaj>Financijska agencija (FINA),Addiko Bank dioničko društvo</izvorni_sadrzaj>
    <derivirana_varijabla naziv="DomainObject.Predmet.StrankaNazivFormated_1">Financijska agencija (FINA),Addiko Bank dioničko društvo</derivirana_varijabla>
  </DomainObject.Predmet.StrankaNazivFormated>
  <DomainObject.Predmet.StrankaNazivFormatedOIB>
    <izvorni_sadrzaj>Financijska agencija (FINA), OIB 85821130368,Addiko Bank dioničko društvo, OIB 14036333877</izvorni_sadrzaj>
    <derivirana_varijabla naziv="DomainObject.Predmet.StrankaNazivFormatedOIB_1">Financijska agencija (FINA), OIB 85821130368,Addiko Bank dioničko društvo, OIB 14036333877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12430.23</izvorni_sadrzaj>
    <derivirana_varijabla naziv="DomainObject.Predmet.TrenutnaVrijednost_1">12430.23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</izvorni_sadrzaj>
    <derivirana_varijabla naziv="DomainObject.Predmet.StrankaListFormated_1">
      <item>Financijska agencija (FINA)</item>
      <item>Addiko Bank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</izvorni_sadrzaj>
    <derivirana_varijabla naziv="DomainObject.Predmet.StrankaListFormatedOIB_1">
      <item>Financijska agencija (FINA), OIB 85821130368</item>
      <item>Addiko Bank dioničko društvo, OIB 14036333877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</izvorni_sadrzaj>
    <derivirana_varijabla naziv="DomainObject.Predmet.StrankaListNazivFormated_1">
      <item>Financijska agencija (FINA)</item>
      <item>Addiko Bank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</izvorni_sadrzaj>
    <derivirana_varijabla naziv="DomainObject.Predmet.StrankaListNazivFormatedOIB_1">
      <item>Financijska agencija (FINA), OIB 85821130368</item>
      <item>Addiko Bank dioničko društvo, OIB 14036333877</item>
    </derivirana_varijabla>
  </DomainObject.Predmet.StrankaListNazivFormatedOIB>
  <DomainObject.Predmet.ProtuStrankaListFormated>
    <izvorni_sadrzaj>
      <item>ZORRO d.o.o., Poreč</item>
    </izvorni_sadrzaj>
    <derivirana_varijabla naziv="DomainObject.Predmet.ProtuStrankaListFormated_1">
      <item>ZORRO d.o.o., Poreč</item>
    </derivirana_varijabla>
  </DomainObject.Predmet.ProtuStrankaListFormated>
  <DomainObject.Predmet.ProtuStrankaListFormatedOIB>
    <izvorni_sadrzaj>
      <item>ZORRO d.o.o., Poreč, OIB 16467038435</item>
    </izvorni_sadrzaj>
    <derivirana_varijabla naziv="DomainObject.Predmet.ProtuStrankaListFormatedOIB_1">
      <item>ZORRO d.o.o., Poreč, OIB 16467038435</item>
    </derivirana_varijabla>
  </DomainObject.Predmet.ProtuStrankaListFormatedOIB>
  <DomainObject.Predmet.ProtuStrankaListFormatedWithAdress>
    <izvorni_sadrzaj>
      <item>ZORRO d.o.o., Poreč, Motovunska 24, 52440 Poreč</item>
    </izvorni_sadrzaj>
    <derivirana_varijabla naziv="DomainObject.Predmet.ProtuStrankaListFormatedWithAdress_1">
      <item>ZORRO d.o.o., Poreč, Motovunska 24, 52440 Poreč</item>
    </derivirana_varijabla>
  </DomainObject.Predmet.ProtuStrankaListFormatedWithAdress>
  <DomainObject.Predmet.ProtuStrankaListFormatedWithAdressOIB>
    <izvorni_sadrzaj>
      <item>ZORRO d.o.o., Poreč, OIB 16467038435, Motovunska 24, 52440 Poreč</item>
    </izvorni_sadrzaj>
    <derivirana_varijabla naziv="DomainObject.Predmet.ProtuStrankaListFormatedWithAdressOIB_1">
      <item>ZORRO d.o.o., Poreč, OIB 16467038435, Motovunska 24, 52440 Poreč</item>
    </derivirana_varijabla>
  </DomainObject.Predmet.ProtuStrankaListFormatedWithAdressOIB>
  <DomainObject.Predmet.ProtuStrankaListNazivFormated>
    <izvorni_sadrzaj>
      <item>ZORRO d.o.o., Poreč</item>
    </izvorni_sadrzaj>
    <derivirana_varijabla naziv="DomainObject.Predmet.ProtuStrankaListNazivFormated_1">
      <item>ZORRO d.o.o., Poreč</item>
    </derivirana_varijabla>
  </DomainObject.Predmet.ProtuStrankaListNazivFormated>
  <DomainObject.Predmet.ProtuStrankaListNazivFormatedOIB>
    <izvorni_sadrzaj>
      <item>ZORRO d.o.o., Poreč, OIB 16467038435</item>
    </izvorni_sadrzaj>
    <derivirana_varijabla naziv="DomainObject.Predmet.ProtuStrankaListNazivFormatedOIB_1">
      <item>ZORRO d.o.o., Poreč, OIB 16467038435</item>
    </derivirana_varijabla>
  </DomainObject.Predmet.ProtuStrankaListNazivFormatedOIB>
  <DomainObject.Predmet.OstaliListFormated>
    <izvorni_sadrzaj>
      <item>Zoran Milić</item>
    </izvorni_sadrzaj>
    <derivirana_varijabla naziv="DomainObject.Predmet.OstaliListFormated_1">
      <item>Zoran Milić</item>
    </derivirana_varijabla>
  </DomainObject.Predmet.OstaliListFormated>
  <DomainObject.Predmet.OstaliListFormatedOIB>
    <izvorni_sadrzaj>
      <item>Zoran Milić, OIB 55349662593</item>
    </izvorni_sadrzaj>
    <derivirana_varijabla naziv="DomainObject.Predmet.OstaliListFormatedOIB_1">
      <item>Zoran Milić, OIB 55349662593</item>
    </derivirana_varijabla>
  </DomainObject.Predmet.OstaliListFormatedOIB>
  <DomainObject.Predmet.OstaliListFormatedWithAdress>
    <izvorni_sadrzaj>
      <item>Zoran Milić, Motovunska 24, 52440 Poreč</item>
    </izvorni_sadrzaj>
    <derivirana_varijabla naziv="DomainObject.Predmet.OstaliListFormatedWithAdress_1">
      <item>Zoran Milić, Motovunska 24, 52440 Poreč</item>
    </derivirana_varijabla>
  </DomainObject.Predmet.OstaliListFormatedWithAdress>
  <DomainObject.Predmet.OstaliListFormatedWithAdressOIB>
    <izvorni_sadrzaj>
      <item>Zoran Milić, OIB 55349662593, Motovunska 24, 52440 Poreč</item>
    </izvorni_sadrzaj>
    <derivirana_varijabla naziv="DomainObject.Predmet.OstaliListFormatedWithAdressOIB_1">
      <item>Zoran Milić, OIB 55349662593, Motovunska 24, 52440 Poreč</item>
    </derivirana_varijabla>
  </DomainObject.Predmet.OstaliListFormatedWithAdressOIB>
  <DomainObject.Predmet.OstaliListNazivFormated>
    <izvorni_sadrzaj>
      <item>Zoran Milić</item>
    </izvorni_sadrzaj>
    <derivirana_varijabla naziv="DomainObject.Predmet.OstaliListNazivFormated_1">
      <item>Zoran Milić</item>
    </derivirana_varijabla>
  </DomainObject.Predmet.OstaliListNazivFormated>
  <DomainObject.Predmet.OstaliListNazivFormatedOIB>
    <izvorni_sadrzaj>
      <item>Zoran Milić, OIB 55349662593</item>
    </izvorni_sadrzaj>
    <derivirana_varijabla naziv="DomainObject.Predmet.OstaliListNazivFormatedOIB_1">
      <item>Zoran Milić, OIB 55349662593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2025.</izvorni_sadrzaj>
    <derivirana_varijabla naziv="DomainObject.Datum_1">25. studenog 2025.</derivirana_varijabla>
  </DomainObject.Datum>
  <DomainObject.PoslovniBrojDokumenta>
    <izvorni_sadrzaj>St-288/2024-36</izvorni_sadrzaj>
    <derivirana_varijabla naziv="DomainObject.PoslovniBrojDokumenta_1">St-288/2024-36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ZORRO d.o.o., Poreč</izvorni_sadrzaj>
    <derivirana_varijabla naziv="DomainObject.Predmet.ProtustrankaIDrugi_1">ZORRO d.o.o.,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ZORRO d.o.o., Poreč, OIB 16467038435, Motovunska 24, 52440 Poreč</izvorni_sadrzaj>
    <derivirana_varijabla naziv="DomainObject.Predmet.ProtustrankaIDrugiAdressOIB_1">ZORRO d.o.o., Poreč, OIB 16467038435, Motovunska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ZORRO d.o.o., Poreč</item>
      <item>Financijska agencija (FINA)</item>
      <item>Addiko Bank dioničko društvo</item>
      <item>Zoran Milić</item>
    </izvorni_sadrzaj>
    <derivirana_varijabla naziv="DomainObject.Predmet.SudioniciListNaziv_1">
      <item>ZORRO d.o.o., Poreč</item>
      <item>Financijska agencija (FINA)</item>
      <item>Addiko Bank dioničko društvo</item>
      <item>Zoran Milić</item>
    </derivirana_varijabla>
  </DomainObject.Predmet.SudioniciListNaziv>
  <DomainObject.Predmet.SudioniciListAdressOIB>
    <izvorni_sadrzaj>
      <item>ZORRO d.o.o., Poreč, OIB 16467038435, Motovunska 24,52440 Poreč</item>
      <item>Financijska agencija (FINA), OIB 85821130368, GIARDINI 5,52100 Pula</item>
      <item>Addiko Bank dioničko društvo, OIB 14036333877, Slavonska avenija 6,10000 Zagreb</item>
      <item>Zoran Milić, OIB 55349662593, Motovunska 24,52440 Poreč</item>
    </izvorni_sadrzaj>
    <derivirana_varijabla naziv="DomainObject.Predmet.SudioniciListAdressOIB_1">
      <item>ZORRO d.o.o., Poreč, OIB 16467038435, Motovunska 24,52440 Poreč</item>
      <item>Financijska agencija (FINA), OIB 85821130368, GIARDINI 5,52100 Pula</item>
      <item>Addiko Bank dioničko društvo, OIB 14036333877, Slavonska avenija 6,10000 Zagreb</item>
      <item>Zoran Milić, OIB 55349662593, Motovunska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16467038435</item>
      <item>, OIB 85821130368</item>
      <item>, OIB 14036333877</item>
      <item>, OIB 55349662593</item>
    </izvorni_sadrzaj>
    <derivirana_varijabla naziv="DomainObject.Predmet.SudioniciListNazivOIB_1">
      <item>, OIB 16467038435</item>
      <item>, OIB 85821130368</item>
      <item>, OIB 14036333877</item>
      <item>, OIB 55349662593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Tatalović, OIB 96481669624, Kralja Tomislava 10/1, 47000 Karlovac</item>
    </izvorni_sadrzaj>
    <derivirana_varijabla naziv="DomainObject.Predmet.StecajniUpraviteljiListAddressOIB_1">
      <item>Alma Tatalović, OIB 96481669624, Kralja Tomislava 10/1,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2024.</izvorni_sadrzaj>
    <derivirana_varijabla naziv="DomainObject.Predmet.DatumPocetkaProcesa_1">23.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285</properties:Words>
  <properties:Characters>1648</properties:Characters>
  <properties:Lines>73</properties:Lines>
  <properties:Paragraphs>29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2025-10-30T14:24:00Z</dcterms:created>
  <dc:creator>Jasmina Matika</dc:creator>
  <dc:description/>
  <cp:keywords/>
  <cp:lastModifiedBy>Jasmina Matika</cp:lastModifiedBy>
  <dcterms:modified xmlns:xsi="http://www.w3.org/2001/XMLSchema-instance" xsi:type="dcterms:W3CDTF">2025-11-25T11:44:00Z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St-288/2024-36 / Zapisnik - Skupština vjerovnika (St-288-24 - ZAPISNIK - SKUPŠTINA VJEROVNIKA - 25-11-2025.docx)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